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WYNIKI GŁOSOWANIA W RAMACH V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EDYCJI  </w:t>
      </w:r>
    </w:p>
    <w:p>
      <w:pPr>
        <w:pStyle w:val="Normal"/>
        <w:spacing w:lineRule="auto" w:line="259" w:before="0" w:after="1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PYSKOWICKIEGO BUDŻETU OBYWATELSKIEGO </w:t>
      </w:r>
    </w:p>
    <w:p>
      <w:pPr>
        <w:pStyle w:val="Normal"/>
        <w:spacing w:lineRule="auto" w:line="259" w:before="0" w:after="1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głosów oddanych łącznie: </w:t>
      </w:r>
      <w:r>
        <w:rPr>
          <w:b/>
          <w:sz w:val="24"/>
          <w:szCs w:val="24"/>
        </w:rPr>
        <w:t>2621</w:t>
      </w:r>
      <w:r>
        <w:rPr>
          <w:sz w:val="24"/>
          <w:szCs w:val="24"/>
        </w:rPr>
        <w:t>, w tym:</w:t>
        <w:br/>
        <w:t xml:space="preserve">- ilość głosów ważnych: </w:t>
      </w:r>
      <w:r>
        <w:rPr>
          <w:b/>
          <w:sz w:val="24"/>
          <w:szCs w:val="24"/>
        </w:rPr>
        <w:t>2407</w:t>
      </w:r>
      <w:r>
        <w:rPr>
          <w:sz w:val="24"/>
          <w:szCs w:val="24"/>
        </w:rPr>
        <w:t xml:space="preserve"> (oddanych elektronicznie: 7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2 , papierowo: </w:t>
      </w:r>
      <w:r>
        <w:rPr>
          <w:sz w:val="24"/>
          <w:szCs w:val="24"/>
        </w:rPr>
        <w:t>1695</w:t>
      </w:r>
      <w:r>
        <w:rPr>
          <w:sz w:val="24"/>
          <w:szCs w:val="24"/>
        </w:rPr>
        <w:t>)</w:t>
      </w:r>
    </w:p>
    <w:p>
      <w:pPr>
        <w:pStyle w:val="Normal"/>
        <w:spacing w:lineRule="auto" w:line="360"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ilość głosów nieważnych: </w:t>
      </w:r>
      <w:r>
        <w:rPr>
          <w:b/>
          <w:sz w:val="24"/>
          <w:szCs w:val="24"/>
        </w:rPr>
        <w:t>214</w:t>
      </w:r>
      <w:r>
        <w:rPr>
          <w:sz w:val="24"/>
          <w:szCs w:val="24"/>
        </w:rPr>
        <w:t xml:space="preserve"> (oddanych elektronicznie: 19, papierowo: 195).</w:t>
      </w:r>
    </w:p>
    <w:p>
      <w:pPr>
        <w:pStyle w:val="Normal"/>
        <w:spacing w:lineRule="auto" w:line="360" w:before="0" w:after="1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59"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Pula środków VI edycji Pyskowickiego Budżetu Obywatelskiego wynosiła 200.000,00 zł. </w:t>
      </w:r>
    </w:p>
    <w:p>
      <w:pPr>
        <w:pStyle w:val="Normal"/>
        <w:spacing w:lineRule="auto" w:line="259" w:before="0" w:after="160"/>
        <w:rPr>
          <w:sz w:val="24"/>
          <w:szCs w:val="24"/>
        </w:rPr>
      </w:pPr>
      <w:r>
        <w:rPr/>
      </w:r>
    </w:p>
    <w:tbl>
      <w:tblPr>
        <w:tblStyle w:val="Tabela-Siatka"/>
        <w:tblW w:w="91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"/>
        <w:gridCol w:w="849"/>
        <w:gridCol w:w="3570"/>
        <w:gridCol w:w="1365"/>
        <w:gridCol w:w="1530"/>
        <w:gridCol w:w="1815"/>
      </w:tblGrid>
      <w:tr>
        <w:trPr/>
        <w:tc>
          <w:tcPr>
            <w:tcW w:w="855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Nazwa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N</w:t>
            </w: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ume</w:t>
            </w: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r zadania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Kwota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 xml:space="preserve">Liczba </w:t>
            </w: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głosów</w:t>
            </w:r>
          </w:p>
        </w:tc>
      </w:tr>
      <w:tr>
        <w:trPr/>
        <w:tc>
          <w:tcPr>
            <w:tcW w:w="85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4"/>
                <w:szCs w:val="24"/>
                <w:lang w:val="pl-PL" w:eastAsia="en-US" w:bidi="ar-SA"/>
              </w:rPr>
              <w:t>Naturalny Plac Zabaw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100.000,00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715</w:t>
            </w:r>
          </w:p>
        </w:tc>
      </w:tr>
      <w:tr>
        <w:trPr/>
        <w:tc>
          <w:tcPr>
            <w:tcW w:w="85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 w:cs="Calibr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Miasteczko ruchu drogowego – bezpieczne dziecko, bezpieczna rodzina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6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100.000,00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b/>
                <w:kern w:val="0"/>
                <w:sz w:val="24"/>
                <w:szCs w:val="24"/>
                <w:lang w:val="pl-PL" w:eastAsia="en-US" w:bidi="ar-SA"/>
              </w:rPr>
              <w:t>520</w:t>
            </w:r>
          </w:p>
        </w:tc>
      </w:tr>
      <w:tr>
        <w:trPr/>
        <w:tc>
          <w:tcPr>
            <w:tcW w:w="855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Zielona strefa rodzinnego wypoczynku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5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100.000,00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406</w:t>
            </w:r>
          </w:p>
        </w:tc>
      </w:tr>
      <w:tr>
        <w:trPr/>
        <w:tc>
          <w:tcPr>
            <w:tcW w:w="855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Wakacje -integracje, czyli lato różnorodności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10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100.000,00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345</w:t>
            </w:r>
          </w:p>
        </w:tc>
      </w:tr>
      <w:tr>
        <w:trPr/>
        <w:tc>
          <w:tcPr>
            <w:tcW w:w="855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Wykonanie ścieżki dla pieszych oraz osób niepełnosprawnych łączącej Plac Żwirki i Wigury z ulica Czereśniową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100.000,00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213</w:t>
            </w:r>
          </w:p>
        </w:tc>
      </w:tr>
      <w:tr>
        <w:trPr/>
        <w:tc>
          <w:tcPr>
            <w:tcW w:w="855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Poprawa bezpieczeństwa na przejściach dla pieszych przez ulicę Wojska Polskiego w Pyskowicach poprzez wykonanie doświetlenia szczególnie ruchliwych i niebezpiecznych przejść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99.999,00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62</w:t>
            </w:r>
          </w:p>
        </w:tc>
      </w:tr>
      <w:tr>
        <w:trPr/>
        <w:tc>
          <w:tcPr>
            <w:tcW w:w="855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Na rowerze po Pyskowicach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100.000,00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56</w:t>
            </w:r>
          </w:p>
        </w:tc>
      </w:tr>
      <w:tr>
        <w:trPr/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Dronem w dym” – oddychaj pełną piersią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8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99.673,89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44</w:t>
            </w:r>
          </w:p>
        </w:tc>
      </w:tr>
      <w:tr>
        <w:trPr/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Bądź eko – wskocz na rower. Budowa wiaty rowerowej na placu przy Szkole Podstawowej nr 6 z Oddziałami Integracyjnymi oraz Orliku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7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100.000,00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26</w:t>
            </w:r>
          </w:p>
        </w:tc>
      </w:tr>
      <w:tr>
        <w:trPr/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Poprawa bezpieczeństwa na przejściach dla pieszych przez ulicę Wojska Polskiego w Pyskowicach poprzez wykonanie doświetlenia szczególnie ruchliwych i niebezpiecznych przejść, etap II</w:t>
            </w:r>
          </w:p>
        </w:tc>
        <w:tc>
          <w:tcPr>
            <w:tcW w:w="1365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9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100.000,00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pl-PL" w:eastAsia="en-US" w:bidi="ar-SA"/>
              </w:rPr>
              <w:t>20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Wytłuszczeniem </w:t>
      </w:r>
      <w:r>
        <w:rPr/>
        <w:t>zaznaczono zadania, które zostaną zrealizowane.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0b0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44e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LibreOffice/7.1.0.3$Windows_X86_64 LibreOffice_project/f6099ecf3d29644b5008cc8f48f42f4a40986e4c</Application>
  <AppVersion>15.0000</AppVersion>
  <Pages>2</Pages>
  <Words>206</Words>
  <Characters>1284</Characters>
  <CharactersWithSpaces>1436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2022-09-08T14:28:00Z</dcterms:created>
  <dc:creator>Dominika Witkowska</dc:creator>
  <dc:description/>
  <dc:language>pl-PL</dc:language>
  <cp:lastModifiedBy/>
  <cp:lastPrinted>2022-09-09T06:00:00Z</cp:lastPrinted>
  <dcterms:modified xsi:type="dcterms:W3CDTF">2022-09-09T10:48:34Z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